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430"/>
        <w:gridCol w:w="2340"/>
        <w:gridCol w:w="3348"/>
      </w:tblGrid>
      <w:tr w:rsidR="00D00CC3" w:rsidRPr="00022913" w:rsidTr="00681973">
        <w:tc>
          <w:tcPr>
            <w:tcW w:w="1458" w:type="dxa"/>
            <w:shd w:val="clear" w:color="auto" w:fill="BFBFBF"/>
          </w:tcPr>
          <w:p w:rsidR="00D00CC3" w:rsidRPr="00022913" w:rsidRDefault="00D00CC3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1011</w:t>
            </w:r>
            <w:r w:rsidRPr="00386C49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</w:rPr>
              <w:t>15</w:t>
            </w:r>
          </w:p>
        </w:tc>
        <w:tc>
          <w:tcPr>
            <w:tcW w:w="2430" w:type="dxa"/>
            <w:shd w:val="clear" w:color="auto" w:fill="BFBFBF"/>
          </w:tcPr>
          <w:p w:rsidR="00D00CC3" w:rsidRPr="00386C49" w:rsidRDefault="00D00CC3" w:rsidP="0068197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Arabic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language</w:t>
            </w:r>
          </w:p>
        </w:tc>
        <w:tc>
          <w:tcPr>
            <w:tcW w:w="2340" w:type="dxa"/>
            <w:shd w:val="clear" w:color="auto" w:fill="BFBFBF"/>
          </w:tcPr>
          <w:p w:rsidR="00D00CC3" w:rsidRPr="00022913" w:rsidRDefault="00D00CC3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(3 credit hours)</w:t>
            </w:r>
          </w:p>
        </w:tc>
        <w:tc>
          <w:tcPr>
            <w:tcW w:w="3348" w:type="dxa"/>
            <w:shd w:val="clear" w:color="auto" w:fill="BFBFBF"/>
          </w:tcPr>
          <w:p w:rsidR="00D00CC3" w:rsidRPr="00022913" w:rsidRDefault="00D00CC3" w:rsidP="006819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prerequisite </w:t>
            </w:r>
            <w:r w:rsidRPr="00386C49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"101099"</w:t>
            </w:r>
            <w:r w:rsidRPr="000229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:rsidR="00D00CC3" w:rsidRPr="00022913" w:rsidRDefault="00D00CC3" w:rsidP="00D00CC3">
      <w:pPr>
        <w:jc w:val="both"/>
        <w:rPr>
          <w:rFonts w:ascii="Times New Roman" w:hAnsi="Times New Roman" w:cs="Times New Roman"/>
          <w:sz w:val="24"/>
          <w:szCs w:val="24"/>
        </w:rPr>
      </w:pPr>
      <w:r w:rsidRPr="00386C49">
        <w:rPr>
          <w:rFonts w:ascii="Times New Roman" w:hAnsi="Times New Roman" w:cs="Times New Roman"/>
          <w:sz w:val="24"/>
          <w:szCs w:val="24"/>
        </w:rPr>
        <w:t xml:space="preserve">The course aims </w:t>
      </w:r>
      <w:r>
        <w:rPr>
          <w:rFonts w:ascii="Times New Roman" w:hAnsi="Times New Roman" w:cs="Times New Roman"/>
          <w:sz w:val="24"/>
          <w:szCs w:val="24"/>
        </w:rPr>
        <w:t>at</w:t>
      </w:r>
      <w:r w:rsidRPr="00386C49">
        <w:rPr>
          <w:rFonts w:ascii="Times New Roman" w:hAnsi="Times New Roman" w:cs="Times New Roman"/>
          <w:sz w:val="24"/>
          <w:szCs w:val="24"/>
        </w:rPr>
        <w:t xml:space="preserve"> enabl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386C49">
        <w:rPr>
          <w:rFonts w:ascii="Times New Roman" w:hAnsi="Times New Roman" w:cs="Times New Roman"/>
          <w:sz w:val="24"/>
          <w:szCs w:val="24"/>
        </w:rPr>
        <w:t xml:space="preserve"> the studen</w:t>
      </w:r>
      <w:r>
        <w:rPr>
          <w:rFonts w:ascii="Times New Roman" w:hAnsi="Times New Roman" w:cs="Times New Roman"/>
          <w:sz w:val="24"/>
          <w:szCs w:val="24"/>
        </w:rPr>
        <w:t>t to utilize the various cognitive principles</w:t>
      </w:r>
      <w:r w:rsidRPr="00386C49">
        <w:rPr>
          <w:rFonts w:ascii="Times New Roman" w:hAnsi="Times New Roman" w:cs="Times New Roman"/>
          <w:sz w:val="24"/>
          <w:szCs w:val="24"/>
        </w:rPr>
        <w:t xml:space="preserve"> of the Arabic language and </w:t>
      </w:r>
      <w:r>
        <w:rPr>
          <w:rFonts w:ascii="Times New Roman" w:hAnsi="Times New Roman" w:cs="Times New Roman"/>
          <w:sz w:val="24"/>
          <w:szCs w:val="24"/>
        </w:rPr>
        <w:t>their</w:t>
      </w:r>
      <w:r w:rsidRPr="00386C49">
        <w:rPr>
          <w:rFonts w:ascii="Times New Roman" w:hAnsi="Times New Roman" w:cs="Times New Roman"/>
          <w:sz w:val="24"/>
          <w:szCs w:val="24"/>
        </w:rPr>
        <w:t xml:space="preserve"> applications through traditional and contemporary texts in the fields of literature, culture, </w:t>
      </w:r>
      <w:r>
        <w:rPr>
          <w:rFonts w:ascii="Times New Roman" w:hAnsi="Times New Roman" w:cs="Times New Roman"/>
          <w:sz w:val="24"/>
          <w:szCs w:val="24"/>
        </w:rPr>
        <w:t>and science. It additionally serves to form a linguistic reservoir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that would aid the student in the proper use of Arabic and dealing efficiently</w:t>
      </w:r>
      <w:r w:rsidRPr="00386C49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its </w:t>
      </w:r>
      <w:r w:rsidRPr="00386C49">
        <w:rPr>
          <w:rFonts w:ascii="Times New Roman" w:hAnsi="Times New Roman" w:cs="Times New Roman"/>
          <w:sz w:val="24"/>
          <w:szCs w:val="24"/>
        </w:rPr>
        <w:t>diverse skills</w:t>
      </w:r>
      <w:r>
        <w:rPr>
          <w:rFonts w:ascii="Times New Roman" w:hAnsi="Times New Roman" w:cs="Times New Roman"/>
          <w:sz w:val="24"/>
          <w:szCs w:val="24"/>
        </w:rPr>
        <w:t>. The course also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introduces</w:t>
      </w:r>
      <w:r w:rsidRPr="00386C49">
        <w:rPr>
          <w:rFonts w:ascii="Times New Roman" w:hAnsi="Times New Roman" w:cs="Times New Roman"/>
          <w:sz w:val="24"/>
          <w:szCs w:val="24"/>
        </w:rPr>
        <w:t xml:space="preserve"> the most important </w:t>
      </w:r>
      <w:r>
        <w:rPr>
          <w:rFonts w:ascii="Times New Roman" w:hAnsi="Times New Roman" w:cs="Times New Roman"/>
          <w:sz w:val="24"/>
          <w:szCs w:val="24"/>
        </w:rPr>
        <w:t xml:space="preserve">syntactic, </w:t>
      </w:r>
      <w:r w:rsidRPr="00386C49">
        <w:rPr>
          <w:rFonts w:ascii="Times New Roman" w:hAnsi="Times New Roman" w:cs="Times New Roman"/>
          <w:sz w:val="24"/>
          <w:szCs w:val="24"/>
        </w:rPr>
        <w:t>morphological</w:t>
      </w:r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386C49">
        <w:rPr>
          <w:rFonts w:ascii="Times New Roman" w:hAnsi="Times New Roman" w:cs="Times New Roman"/>
          <w:sz w:val="24"/>
          <w:szCs w:val="24"/>
        </w:rPr>
        <w:t xml:space="preserve"> linguistic </w:t>
      </w:r>
      <w:r>
        <w:rPr>
          <w:rFonts w:ascii="Times New Roman" w:hAnsi="Times New Roman" w:cs="Times New Roman"/>
          <w:sz w:val="24"/>
          <w:szCs w:val="24"/>
        </w:rPr>
        <w:t>principles</w:t>
      </w:r>
      <w:r w:rsidRPr="00386C49">
        <w:rPr>
          <w:rFonts w:ascii="Times New Roman" w:hAnsi="Times New Roman" w:cs="Times New Roman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 xml:space="preserve"> highlights</w:t>
      </w:r>
      <w:r w:rsidRPr="0038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their application in selected</w:t>
      </w:r>
      <w:r w:rsidRPr="00386C49">
        <w:rPr>
          <w:rFonts w:ascii="Times New Roman" w:hAnsi="Times New Roman" w:cs="Times New Roman"/>
          <w:sz w:val="24"/>
          <w:szCs w:val="24"/>
        </w:rPr>
        <w:t xml:space="preserve"> Arabic text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86C49">
        <w:rPr>
          <w:rFonts w:ascii="Times New Roman" w:hAnsi="Times New Roman" w:cs="Times New Roman"/>
          <w:sz w:val="24"/>
          <w:szCs w:val="24"/>
        </w:rPr>
        <w:t>.</w:t>
      </w:r>
    </w:p>
    <w:p w:rsidR="00C307A1" w:rsidRDefault="00C307A1">
      <w:bookmarkStart w:id="0" w:name="_GoBack"/>
      <w:bookmarkEnd w:id="0"/>
    </w:p>
    <w:sectPr w:rsidR="00C30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C3"/>
    <w:rsid w:val="008E13B7"/>
    <w:rsid w:val="00C307A1"/>
    <w:rsid w:val="00D0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C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CC3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adminstrator</cp:lastModifiedBy>
  <cp:revision>2</cp:revision>
  <cp:lastPrinted>2016-02-07T13:48:00Z</cp:lastPrinted>
  <dcterms:created xsi:type="dcterms:W3CDTF">2016-02-07T13:48:00Z</dcterms:created>
  <dcterms:modified xsi:type="dcterms:W3CDTF">2016-02-07T13:48:00Z</dcterms:modified>
</cp:coreProperties>
</file>