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35B8D" w:rsidRPr="00022913" w:rsidTr="00681973">
        <w:tc>
          <w:tcPr>
            <w:tcW w:w="2394" w:type="dxa"/>
            <w:shd w:val="clear" w:color="auto" w:fill="BFBFBF"/>
          </w:tcPr>
          <w:p w:rsidR="00935B8D" w:rsidRPr="00022913" w:rsidRDefault="00935B8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101130</w:t>
            </w:r>
          </w:p>
        </w:tc>
        <w:tc>
          <w:tcPr>
            <w:tcW w:w="2394" w:type="dxa"/>
            <w:shd w:val="clear" w:color="auto" w:fill="BFBFBF"/>
          </w:tcPr>
          <w:p w:rsidR="00935B8D" w:rsidRPr="00C2200D" w:rsidRDefault="00935B8D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 Syntax</w:t>
            </w:r>
            <w:r w:rsidRPr="00C22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94" w:type="dxa"/>
            <w:shd w:val="clear" w:color="auto" w:fill="BFBFBF"/>
          </w:tcPr>
          <w:p w:rsidR="00935B8D" w:rsidRPr="00022913" w:rsidRDefault="00935B8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935B8D" w:rsidRPr="00022913" w:rsidRDefault="00935B8D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935B8D" w:rsidRDefault="00935B8D" w:rsidP="00935B8D">
      <w:pPr>
        <w:jc w:val="both"/>
        <w:rPr>
          <w:rFonts w:ascii="Times New Roman" w:hAnsi="Times New Roman" w:cs="Times New Roman"/>
          <w:sz w:val="24"/>
          <w:szCs w:val="24"/>
        </w:rPr>
      </w:pPr>
      <w:r w:rsidRPr="00C2200D">
        <w:rPr>
          <w:rFonts w:ascii="Times New Roman" w:hAnsi="Times New Roman" w:cs="Times New Roman"/>
          <w:sz w:val="24"/>
          <w:szCs w:val="24"/>
        </w:rPr>
        <w:t xml:space="preserve">This course aims </w:t>
      </w:r>
      <w:r>
        <w:rPr>
          <w:rFonts w:ascii="Times New Roman" w:hAnsi="Times New Roman" w:cs="Times New Roman"/>
          <w:sz w:val="24"/>
          <w:szCs w:val="24"/>
        </w:rPr>
        <w:t xml:space="preserve">at laying the groundwork for students’ syntactic thinking </w:t>
      </w:r>
      <w:r w:rsidRPr="00C2200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delving into the history of syntax; its definition, rise and schools.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2200D">
        <w:rPr>
          <w:rFonts w:ascii="Times New Roman" w:hAnsi="Times New Roman" w:cs="Times New Roman"/>
          <w:sz w:val="24"/>
          <w:szCs w:val="24"/>
        </w:rPr>
        <w:t>hen 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200D">
        <w:rPr>
          <w:rFonts w:ascii="Times New Roman" w:hAnsi="Times New Roman" w:cs="Times New Roman"/>
          <w:sz w:val="24"/>
          <w:szCs w:val="24"/>
        </w:rPr>
        <w:t xml:space="preserve"> students to important </w:t>
      </w:r>
      <w:r>
        <w:rPr>
          <w:rFonts w:ascii="Times New Roman" w:hAnsi="Times New Roman" w:cs="Times New Roman"/>
          <w:sz w:val="24"/>
          <w:szCs w:val="24"/>
        </w:rPr>
        <w:t>syntactic</w:t>
      </w:r>
      <w:r w:rsidRPr="00C2200D">
        <w:rPr>
          <w:rFonts w:ascii="Times New Roman" w:hAnsi="Times New Roman" w:cs="Times New Roman"/>
          <w:sz w:val="24"/>
          <w:szCs w:val="24"/>
        </w:rPr>
        <w:t xml:space="preserve"> topics</w:t>
      </w:r>
      <w:r>
        <w:rPr>
          <w:rFonts w:ascii="Times New Roman" w:hAnsi="Times New Roman" w:cs="Times New Roman"/>
          <w:sz w:val="24"/>
          <w:szCs w:val="24"/>
        </w:rPr>
        <w:t>, such as</w:t>
      </w:r>
      <w:r w:rsidRPr="00C2200D">
        <w:rPr>
          <w:rFonts w:ascii="Times New Roman" w:hAnsi="Times New Roman" w:cs="Times New Roman"/>
          <w:sz w:val="24"/>
          <w:szCs w:val="24"/>
        </w:rPr>
        <w:t xml:space="preserve">: the word and its divisions: </w:t>
      </w:r>
      <w:r>
        <w:rPr>
          <w:rFonts w:ascii="Times New Roman" w:hAnsi="Times New Roman" w:cs="Times New Roman"/>
          <w:sz w:val="24"/>
          <w:szCs w:val="24"/>
        </w:rPr>
        <w:t>The noun, including</w:t>
      </w:r>
      <w:r w:rsidRPr="00C220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its markers, </w:t>
      </w:r>
      <w:r w:rsidRPr="00C2200D">
        <w:rPr>
          <w:rFonts w:ascii="Times New Roman" w:hAnsi="Times New Roman" w:cs="Times New Roman"/>
          <w:sz w:val="24"/>
          <w:szCs w:val="24"/>
        </w:rPr>
        <w:t>masculinity and feminin</w:t>
      </w:r>
      <w:r>
        <w:rPr>
          <w:rFonts w:ascii="Times New Roman" w:hAnsi="Times New Roman" w:cs="Times New Roman"/>
          <w:sz w:val="24"/>
          <w:szCs w:val="24"/>
        </w:rPr>
        <w:t>ity</w:t>
      </w:r>
      <w:r w:rsidRPr="00C22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absolution and determination, </w:t>
      </w:r>
      <w:r w:rsidRPr="00C2200D">
        <w:rPr>
          <w:rFonts w:ascii="Times New Roman" w:hAnsi="Times New Roman" w:cs="Times New Roman"/>
          <w:sz w:val="24"/>
          <w:szCs w:val="24"/>
        </w:rPr>
        <w:t>singularity</w:t>
      </w:r>
      <w:r>
        <w:rPr>
          <w:rFonts w:ascii="Times New Roman" w:hAnsi="Times New Roman" w:cs="Times New Roman"/>
          <w:sz w:val="24"/>
          <w:szCs w:val="24"/>
        </w:rPr>
        <w:t xml:space="preserve">, duality and plurality, and grammatical case and declension; </w:t>
      </w:r>
      <w:r w:rsidRPr="00C220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verb, including: 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markers, categorizations of time and aspect, transitivity and transitivity</w:t>
      </w:r>
      <w:r w:rsidRPr="00C22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soundness and weakness, and </w:t>
      </w:r>
      <w:r w:rsidRPr="00E3270B">
        <w:rPr>
          <w:rFonts w:ascii="Times New Roman" w:hAnsi="Times New Roman" w:cs="Times New Roman"/>
          <w:sz w:val="24"/>
          <w:szCs w:val="24"/>
        </w:rPr>
        <w:t xml:space="preserve">grammatical case and </w:t>
      </w:r>
      <w:r>
        <w:rPr>
          <w:rFonts w:ascii="Times New Roman" w:hAnsi="Times New Roman" w:cs="Times New Roman"/>
          <w:sz w:val="24"/>
          <w:szCs w:val="24"/>
        </w:rPr>
        <w:t>conjugation; The particle, including: particles of meaning and particles of function. The course additionally examines major and minor and overt and subvert syntactic phenomena, and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application </w:t>
      </w:r>
      <w:r w:rsidRPr="00C2200D">
        <w:rPr>
          <w:rFonts w:ascii="Times New Roman" w:hAnsi="Times New Roman" w:cs="Times New Roman"/>
          <w:sz w:val="24"/>
          <w:szCs w:val="24"/>
        </w:rPr>
        <w:t>to the singular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dual, </w:t>
      </w:r>
      <w:r w:rsidRPr="00C2200D">
        <w:rPr>
          <w:rFonts w:ascii="Times New Roman" w:hAnsi="Times New Roman" w:cs="Times New Roman"/>
          <w:sz w:val="24"/>
          <w:szCs w:val="24"/>
        </w:rPr>
        <w:t xml:space="preserve">the plural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C2200D">
        <w:rPr>
          <w:rFonts w:ascii="Times New Roman" w:hAnsi="Times New Roman" w:cs="Times New Roman"/>
          <w:sz w:val="24"/>
          <w:szCs w:val="24"/>
        </w:rPr>
        <w:t xml:space="preserve"> the five </w:t>
      </w:r>
      <w:r>
        <w:rPr>
          <w:rFonts w:ascii="Times New Roman" w:hAnsi="Times New Roman" w:cs="Times New Roman"/>
          <w:sz w:val="24"/>
          <w:szCs w:val="24"/>
        </w:rPr>
        <w:t>nouns</w:t>
      </w:r>
      <w:r w:rsidRPr="00C22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2200D">
        <w:rPr>
          <w:rFonts w:ascii="Times New Roman" w:hAnsi="Times New Roman" w:cs="Times New Roman"/>
          <w:sz w:val="24"/>
          <w:szCs w:val="24"/>
        </w:rPr>
        <w:t xml:space="preserve"> also defines the components of the </w:t>
      </w:r>
      <w:r>
        <w:rPr>
          <w:rFonts w:ascii="Times New Roman" w:hAnsi="Times New Roman" w:cs="Times New Roman"/>
          <w:sz w:val="24"/>
          <w:szCs w:val="24"/>
        </w:rPr>
        <w:t>verbal</w:t>
      </w:r>
      <w:r w:rsidRPr="00C2200D">
        <w:rPr>
          <w:rFonts w:ascii="Times New Roman" w:hAnsi="Times New Roman" w:cs="Times New Roman"/>
          <w:sz w:val="24"/>
          <w:szCs w:val="24"/>
        </w:rPr>
        <w:t xml:space="preserve"> sentence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verb, the subject, the object, </w:t>
      </w:r>
      <w:r w:rsidRPr="00C2200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subject of the predicate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their</w:t>
      </w:r>
      <w:r w:rsidRPr="00C2200D">
        <w:rPr>
          <w:rFonts w:ascii="Times New Roman" w:hAnsi="Times New Roman" w:cs="Times New Roman"/>
          <w:sz w:val="24"/>
          <w:szCs w:val="24"/>
        </w:rPr>
        <w:t xml:space="preserve"> provisions</w:t>
      </w:r>
      <w:r>
        <w:rPr>
          <w:rFonts w:ascii="Times New Roman" w:hAnsi="Times New Roman" w:cs="Times New Roman"/>
          <w:sz w:val="24"/>
          <w:szCs w:val="24"/>
        </w:rPr>
        <w:t xml:space="preserve"> and positions; the components of the nominal sentence; the subject and the predicate and their shifters. Various linguistic skills are utilized in an approach that incorporates theory and practice.</w:t>
      </w:r>
      <w:r w:rsidRPr="00C2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D"/>
    <w:rsid w:val="004D1D5F"/>
    <w:rsid w:val="00935B8D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8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8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2016-02-08T06:12:00Z</cp:lastPrinted>
  <dcterms:created xsi:type="dcterms:W3CDTF">2016-02-08T06:12:00Z</dcterms:created>
  <dcterms:modified xsi:type="dcterms:W3CDTF">2016-02-08T06:12:00Z</dcterms:modified>
</cp:coreProperties>
</file>