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27"/>
        <w:gridCol w:w="1933"/>
        <w:gridCol w:w="2932"/>
      </w:tblGrid>
      <w:tr w:rsidR="001D2F86" w:rsidRPr="00022913" w:rsidTr="00681973">
        <w:trPr>
          <w:trHeight w:val="695"/>
        </w:trPr>
        <w:tc>
          <w:tcPr>
            <w:tcW w:w="936" w:type="dxa"/>
            <w:shd w:val="clear" w:color="auto" w:fill="BFBFBF"/>
            <w:vAlign w:val="center"/>
          </w:tcPr>
          <w:p w:rsidR="001D2F86" w:rsidRPr="00022913" w:rsidRDefault="001D2F86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101315</w:t>
            </w:r>
          </w:p>
        </w:tc>
        <w:tc>
          <w:tcPr>
            <w:tcW w:w="4527" w:type="dxa"/>
            <w:shd w:val="clear" w:color="auto" w:fill="BFBFBF"/>
            <w:vAlign w:val="center"/>
          </w:tcPr>
          <w:p w:rsidR="001D2F86" w:rsidRPr="00CC21F1" w:rsidRDefault="001D2F86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Fatimid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C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Ayyubid</w:t>
            </w:r>
            <w:proofErr w:type="spellEnd"/>
            <w:r w:rsidRPr="00CC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CC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Mamluk</w:t>
            </w:r>
            <w:proofErr w:type="spellEnd"/>
            <w:r w:rsidRPr="00CC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literature</w:t>
            </w:r>
          </w:p>
        </w:tc>
        <w:tc>
          <w:tcPr>
            <w:tcW w:w="1933" w:type="dxa"/>
            <w:shd w:val="clear" w:color="auto" w:fill="BFBFBF"/>
            <w:vAlign w:val="center"/>
          </w:tcPr>
          <w:p w:rsidR="001D2F86" w:rsidRPr="00022913" w:rsidRDefault="001D2F86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932" w:type="dxa"/>
            <w:shd w:val="clear" w:color="auto" w:fill="BFBFBF"/>
            <w:vAlign w:val="center"/>
          </w:tcPr>
          <w:p w:rsidR="001D2F86" w:rsidRPr="00022913" w:rsidRDefault="001D2F86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prerequisite </w:t>
            </w:r>
            <w:r w:rsidRPr="00CC21F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CC21F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101314</w:t>
            </w:r>
            <w:r w:rsidRPr="00CC21F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D2F86" w:rsidRPr="00022913" w:rsidRDefault="001D2F86" w:rsidP="001D2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aims</w:t>
      </w:r>
      <w:r w:rsidRPr="00CC21F1">
        <w:rPr>
          <w:rFonts w:ascii="Times New Roman" w:hAnsi="Times New Roman" w:cs="Times New Roman"/>
          <w:sz w:val="24"/>
          <w:szCs w:val="24"/>
        </w:rPr>
        <w:t xml:space="preserve"> to complete </w:t>
      </w:r>
      <w:r>
        <w:rPr>
          <w:rFonts w:ascii="Times New Roman" w:hAnsi="Times New Roman" w:cs="Times New Roman"/>
          <w:sz w:val="24"/>
          <w:szCs w:val="24"/>
        </w:rPr>
        <w:t>the cycle of acquainting the</w:t>
      </w:r>
      <w:r w:rsidRPr="00CC21F1">
        <w:rPr>
          <w:rFonts w:ascii="Times New Roman" w:hAnsi="Times New Roman" w:cs="Times New Roman"/>
          <w:sz w:val="24"/>
          <w:szCs w:val="24"/>
        </w:rPr>
        <w:t xml:space="preserve"> student </w:t>
      </w:r>
      <w:r>
        <w:rPr>
          <w:rFonts w:ascii="Times New Roman" w:hAnsi="Times New Roman" w:cs="Times New Roman"/>
          <w:sz w:val="24"/>
          <w:szCs w:val="24"/>
        </w:rPr>
        <w:t xml:space="preserve">with the classical </w:t>
      </w:r>
      <w:r w:rsidRPr="00CC21F1">
        <w:rPr>
          <w:rFonts w:ascii="Times New Roman" w:hAnsi="Times New Roman" w:cs="Times New Roman"/>
          <w:sz w:val="24"/>
          <w:szCs w:val="24"/>
        </w:rPr>
        <w:t xml:space="preserve">literary heritage through </w:t>
      </w:r>
      <w:r>
        <w:rPr>
          <w:rFonts w:ascii="Times New Roman" w:hAnsi="Times New Roman" w:cs="Times New Roman"/>
          <w:sz w:val="24"/>
          <w:szCs w:val="24"/>
        </w:rPr>
        <w:t>examining</w:t>
      </w:r>
      <w:r w:rsidRPr="00CC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C21F1">
        <w:rPr>
          <w:rFonts w:ascii="Times New Roman" w:hAnsi="Times New Roman" w:cs="Times New Roman"/>
          <w:sz w:val="24"/>
          <w:szCs w:val="24"/>
        </w:rPr>
        <w:t>Ismaili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thought upon which </w:t>
      </w:r>
      <w:r w:rsidRPr="00CC21F1">
        <w:rPr>
          <w:rFonts w:ascii="Times New Roman" w:hAnsi="Times New Roman" w:cs="Times New Roman"/>
          <w:sz w:val="24"/>
          <w:szCs w:val="24"/>
        </w:rPr>
        <w:t>the Fatimid dynasty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1F1">
        <w:rPr>
          <w:rFonts w:ascii="Times New Roman" w:hAnsi="Times New Roman" w:cs="Times New Roman"/>
          <w:sz w:val="24"/>
          <w:szCs w:val="24"/>
        </w:rPr>
        <w:t>in Egypt and Morocco</w:t>
      </w:r>
      <w:r>
        <w:rPr>
          <w:rFonts w:ascii="Times New Roman" w:hAnsi="Times New Roman" w:cs="Times New Roman"/>
          <w:sz w:val="24"/>
          <w:szCs w:val="24"/>
        </w:rPr>
        <w:t xml:space="preserve"> was based. It examines</w:t>
      </w:r>
      <w:r w:rsidRPr="00CC21F1">
        <w:rPr>
          <w:rFonts w:ascii="Times New Roman" w:hAnsi="Times New Roman" w:cs="Times New Roman"/>
          <w:sz w:val="24"/>
          <w:szCs w:val="24"/>
        </w:rPr>
        <w:t xml:space="preserve"> the most important literary phenomena</w:t>
      </w:r>
      <w:r>
        <w:rPr>
          <w:rFonts w:ascii="Times New Roman" w:hAnsi="Times New Roman" w:cs="Times New Roman"/>
          <w:sz w:val="24"/>
          <w:szCs w:val="24"/>
        </w:rPr>
        <w:t xml:space="preserve"> and artistic and thematic </w:t>
      </w:r>
      <w:r w:rsidRPr="00CC21F1">
        <w:rPr>
          <w:rFonts w:ascii="Times New Roman" w:hAnsi="Times New Roman" w:cs="Times New Roman"/>
          <w:sz w:val="24"/>
          <w:szCs w:val="24"/>
        </w:rPr>
        <w:t xml:space="preserve">properties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C21F1">
        <w:rPr>
          <w:rFonts w:ascii="Times New Roman" w:hAnsi="Times New Roman" w:cs="Times New Roman"/>
          <w:sz w:val="24"/>
          <w:szCs w:val="24"/>
        </w:rPr>
        <w:t>Fatimid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F1">
        <w:rPr>
          <w:rFonts w:ascii="Times New Roman" w:hAnsi="Times New Roman" w:cs="Times New Roman"/>
          <w:sz w:val="24"/>
          <w:szCs w:val="24"/>
        </w:rPr>
        <w:t>Ayyubid</w:t>
      </w:r>
      <w:proofErr w:type="spellEnd"/>
      <w:r w:rsidRPr="00CC21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21F1">
        <w:rPr>
          <w:rFonts w:ascii="Times New Roman" w:hAnsi="Times New Roman" w:cs="Times New Roman"/>
          <w:sz w:val="24"/>
          <w:szCs w:val="24"/>
        </w:rPr>
        <w:t>Mamluk</w:t>
      </w:r>
      <w:proofErr w:type="spellEnd"/>
      <w:r w:rsidRPr="00CC21F1">
        <w:rPr>
          <w:rFonts w:ascii="Times New Roman" w:hAnsi="Times New Roman" w:cs="Times New Roman"/>
          <w:sz w:val="24"/>
          <w:szCs w:val="24"/>
        </w:rPr>
        <w:t xml:space="preserve"> literature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CC21F1">
        <w:rPr>
          <w:rFonts w:ascii="Times New Roman" w:hAnsi="Times New Roman" w:cs="Times New Roman"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>ing some</w:t>
      </w:r>
      <w:r w:rsidRPr="00CC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prominent</w:t>
      </w:r>
      <w:r w:rsidRPr="00CC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literature which</w:t>
      </w:r>
      <w:r w:rsidRPr="00CC21F1">
        <w:rPr>
          <w:rFonts w:ascii="Times New Roman" w:hAnsi="Times New Roman" w:cs="Times New Roman"/>
          <w:sz w:val="24"/>
          <w:szCs w:val="24"/>
        </w:rPr>
        <w:t xml:space="preserve"> constitute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21F1">
        <w:rPr>
          <w:rFonts w:ascii="Times New Roman" w:hAnsi="Times New Roman" w:cs="Times New Roman"/>
          <w:sz w:val="24"/>
          <w:szCs w:val="24"/>
        </w:rPr>
        <w:t xml:space="preserve"> the intellectual, religious and literary features of this 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86"/>
    <w:rsid w:val="001D2F86"/>
    <w:rsid w:val="0059599D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8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8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2016-02-07T13:39:00Z</cp:lastPrinted>
  <dcterms:created xsi:type="dcterms:W3CDTF">2016-02-07T13:39:00Z</dcterms:created>
  <dcterms:modified xsi:type="dcterms:W3CDTF">2016-02-07T13:39:00Z</dcterms:modified>
</cp:coreProperties>
</file>