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392"/>
        <w:gridCol w:w="2160"/>
        <w:gridCol w:w="2088"/>
      </w:tblGrid>
      <w:tr w:rsidR="00915FE3" w:rsidRPr="00022913" w:rsidTr="00681973">
        <w:tc>
          <w:tcPr>
            <w:tcW w:w="936" w:type="dxa"/>
            <w:shd w:val="clear" w:color="auto" w:fill="BFBFBF"/>
          </w:tcPr>
          <w:p w:rsidR="00915FE3" w:rsidRPr="00022913" w:rsidRDefault="00915FE3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101319</w:t>
            </w:r>
          </w:p>
        </w:tc>
        <w:tc>
          <w:tcPr>
            <w:tcW w:w="4392" w:type="dxa"/>
            <w:shd w:val="clear" w:color="auto" w:fill="BFBFBF"/>
          </w:tcPr>
          <w:p w:rsidR="00915FE3" w:rsidRPr="002B07FC" w:rsidRDefault="00915FE3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Andalusian</w:t>
            </w:r>
            <w:proofErr w:type="spellEnd"/>
            <w:r w:rsidRPr="002B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2B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aghrebi</w:t>
            </w:r>
            <w:proofErr w:type="spellEnd"/>
            <w:r w:rsidRPr="002B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Literature</w:t>
            </w:r>
          </w:p>
        </w:tc>
        <w:tc>
          <w:tcPr>
            <w:tcW w:w="2160" w:type="dxa"/>
            <w:shd w:val="clear" w:color="auto" w:fill="BFBFBF"/>
          </w:tcPr>
          <w:p w:rsidR="00915FE3" w:rsidRPr="00022913" w:rsidRDefault="00915FE3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088" w:type="dxa"/>
            <w:shd w:val="clear" w:color="auto" w:fill="BFBFBF"/>
          </w:tcPr>
          <w:p w:rsidR="00915FE3" w:rsidRPr="00022913" w:rsidRDefault="00915FE3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915FE3" w:rsidRPr="00022913" w:rsidRDefault="00915FE3" w:rsidP="00915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aims to connect the student with the intellectual and literary heritage of Andalusia and the Maghreb. It overviews the properties, themes, phenomena, and artistic traits of </w:t>
      </w:r>
      <w:proofErr w:type="spellStart"/>
      <w:r w:rsidRPr="002B07FC">
        <w:rPr>
          <w:rFonts w:ascii="Times New Roman" w:hAnsi="Times New Roman" w:cs="Times New Roman"/>
          <w:sz w:val="24"/>
          <w:szCs w:val="24"/>
        </w:rPr>
        <w:t>Andalusian</w:t>
      </w:r>
      <w:proofErr w:type="spellEnd"/>
      <w:r w:rsidRPr="002B07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Maghrebi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poetry</w:t>
      </w:r>
      <w:r w:rsidRPr="002B07FC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discusses</w:t>
      </w:r>
      <w:r w:rsidRPr="002B07FC">
        <w:rPr>
          <w:rFonts w:ascii="Times New Roman" w:hAnsi="Times New Roman" w:cs="Times New Roman"/>
          <w:sz w:val="24"/>
          <w:szCs w:val="24"/>
        </w:rPr>
        <w:t xml:space="preserve"> the impact of the </w:t>
      </w:r>
      <w:proofErr w:type="spellStart"/>
      <w:r w:rsidRPr="002B07FC">
        <w:rPr>
          <w:rFonts w:ascii="Times New Roman" w:hAnsi="Times New Roman" w:cs="Times New Roman"/>
          <w:sz w:val="24"/>
          <w:szCs w:val="24"/>
        </w:rPr>
        <w:t>Andalusian</w:t>
      </w:r>
      <w:proofErr w:type="spellEnd"/>
      <w:r w:rsidRPr="002B07FC">
        <w:rPr>
          <w:rFonts w:ascii="Times New Roman" w:hAnsi="Times New Roman" w:cs="Times New Roman"/>
          <w:sz w:val="24"/>
          <w:szCs w:val="24"/>
        </w:rPr>
        <w:t xml:space="preserve"> environment </w:t>
      </w:r>
      <w:r>
        <w:rPr>
          <w:rFonts w:ascii="Times New Roman" w:hAnsi="Times New Roman" w:cs="Times New Roman"/>
          <w:sz w:val="24"/>
          <w:szCs w:val="24"/>
        </w:rPr>
        <w:t>on this genre.</w:t>
      </w:r>
      <w:r w:rsidRPr="002B0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course additionally</w:t>
      </w:r>
      <w:r w:rsidRPr="002B07FC">
        <w:rPr>
          <w:rFonts w:ascii="Times New Roman" w:hAnsi="Times New Roman" w:cs="Times New Roman"/>
          <w:sz w:val="24"/>
          <w:szCs w:val="24"/>
        </w:rPr>
        <w:t xml:space="preserve"> deals with the </w:t>
      </w:r>
      <w:r>
        <w:rPr>
          <w:rFonts w:ascii="Times New Roman" w:hAnsi="Times New Roman" w:cs="Times New Roman"/>
          <w:sz w:val="24"/>
          <w:szCs w:val="24"/>
        </w:rPr>
        <w:t>features and properties</w:t>
      </w:r>
      <w:r w:rsidRPr="002B07FC">
        <w:rPr>
          <w:rFonts w:ascii="Times New Roman" w:hAnsi="Times New Roman" w:cs="Times New Roman"/>
          <w:sz w:val="24"/>
          <w:szCs w:val="24"/>
        </w:rPr>
        <w:t xml:space="preserve"> of prose in Andalusia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B07F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aghreb</w:t>
      </w:r>
      <w:r w:rsidRPr="002B07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elegance and refinement of </w:t>
      </w:r>
      <w:proofErr w:type="spellStart"/>
      <w:r w:rsidRPr="00B67259">
        <w:rPr>
          <w:rFonts w:ascii="Times New Roman" w:hAnsi="Times New Roman" w:cs="Times New Roman"/>
          <w:sz w:val="24"/>
          <w:szCs w:val="24"/>
        </w:rPr>
        <w:t>Andalusian</w:t>
      </w:r>
      <w:proofErr w:type="spellEnd"/>
      <w:r w:rsidRPr="00B6725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7259">
        <w:rPr>
          <w:rFonts w:ascii="Times New Roman" w:hAnsi="Times New Roman" w:cs="Times New Roman"/>
          <w:sz w:val="24"/>
          <w:szCs w:val="24"/>
        </w:rPr>
        <w:t>Maghrebi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poetry and prose is substantiated through the analysis of sample literature.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E3"/>
    <w:rsid w:val="00915FE3"/>
    <w:rsid w:val="00C307A1"/>
    <w:rsid w:val="00FB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E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E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2016-02-07T13:46:00Z</cp:lastPrinted>
  <dcterms:created xsi:type="dcterms:W3CDTF">2016-02-07T13:46:00Z</dcterms:created>
  <dcterms:modified xsi:type="dcterms:W3CDTF">2016-02-07T13:46:00Z</dcterms:modified>
</cp:coreProperties>
</file>